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826F" w14:textId="20ED0FC2" w:rsidR="006F5184" w:rsidRPr="006F5184" w:rsidRDefault="006F5184" w:rsidP="006F51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2027 CMS Proposed Rule</w:t>
      </w:r>
      <w:r w:rsidRPr="006F5184">
        <w:rPr>
          <w:noProof/>
        </w:rPr>
        <w:t xml:space="preserve"> </w:t>
      </w:r>
    </w:p>
    <w:p w14:paraId="1848A023" w14:textId="77777777" w:rsidR="006F5184" w:rsidRPr="006F5184" w:rsidRDefault="006F5184" w:rsidP="006F51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5-Minute Public Comment Guide</w:t>
      </w:r>
    </w:p>
    <w:p w14:paraId="353420F4" w14:textId="77777777" w:rsidR="006F5184" w:rsidRPr="006F5184" w:rsidRDefault="006F5184" w:rsidP="006F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Comment Deadline: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September 14, 2026</w:t>
      </w:r>
    </w:p>
    <w:p w14:paraId="2BE0F9FF" w14:textId="77777777" w:rsidR="006F5184" w:rsidRPr="006F5184" w:rsidRDefault="006F5184" w:rsidP="006F5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Why Comment?</w:t>
      </w:r>
    </w:p>
    <w:p w14:paraId="70E37ECE" w14:textId="77777777" w:rsidR="006F5184" w:rsidRPr="007D17B6" w:rsidRDefault="006F5184" w:rsidP="006F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D17B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CMS reviews and responds to substantive public comments before issuing the final rule. Individual comments from practicing orthopaedic surgeons help policymakers understand the real-world impact on patient care.</w:t>
      </w:r>
    </w:p>
    <w:p w14:paraId="6931DA72" w14:textId="3053787B" w:rsidR="007D17B6" w:rsidRPr="007D17B6" w:rsidRDefault="007D17B6" w:rsidP="006F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D17B6">
        <w:rPr>
          <w:rFonts w:ascii="Times New Roman" w:hAnsi="Times New Roman" w:cs="Times New Roman"/>
          <w:sz w:val="22"/>
          <w:szCs w:val="22"/>
        </w:rPr>
        <w:t>These talking points are based on publicly available information and the excellent overview presented by Dr. Adam Bruggeman at the 2026 Tennessee Orthopaedic Society Annual Meeting. They are intended as a starting point to help you submit your own personalized comments to CMS</w:t>
      </w:r>
      <w:r w:rsidRPr="007D17B6">
        <w:rPr>
          <w:rFonts w:ascii="Times New Roman" w:hAnsi="Times New Roman" w:cs="Times New Roman"/>
        </w:rPr>
        <w:t>.</w:t>
      </w:r>
    </w:p>
    <w:p w14:paraId="59F9FD43" w14:textId="16913556" w:rsidR="004C2996" w:rsidRPr="00CA2822" w:rsidRDefault="006F5184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The goal is not to submit identical comments.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Personalize the talking points below using examples from your own practice.</w:t>
      </w:r>
    </w:p>
    <w:p w14:paraId="6675EB13" w14:textId="77777777" w:rsidR="004C2996" w:rsidRPr="004C2996" w:rsidRDefault="004C2996" w:rsidP="004C29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Four Key Issues for Orthopaedic Surgeons</w:t>
      </w:r>
    </w:p>
    <w:p w14:paraId="54C81BC8" w14:textId="77777777" w:rsidR="004C2996" w:rsidRPr="004C2996" w:rsidRDefault="004C2996" w:rsidP="004C2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Proposed Reduction in Joint Replacement Reimbursement</w:t>
      </w:r>
    </w:p>
    <w:p w14:paraId="1BDEA65E" w14:textId="77777777" w:rsidR="004C2996" w:rsidRPr="004C2996" w:rsidRDefault="004C2996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CMS Proposal:</w:t>
      </w: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 Significant reductions in physician payment for primary total hip and total knee arthroplasty (approximately 20%, as presented by Dr. Bruggeman).</w:t>
      </w:r>
    </w:p>
    <w:p w14:paraId="47A12E67" w14:textId="77777777" w:rsidR="004C2996" w:rsidRPr="004C2996" w:rsidRDefault="004C2996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Suggested Talking Points</w:t>
      </w:r>
    </w:p>
    <w:p w14:paraId="0D7DFF7C" w14:textId="77777777" w:rsidR="004C2996" w:rsidRPr="004C2996" w:rsidRDefault="004C2996" w:rsidP="004C2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Modern musculoskeletal care is becoming </w:t>
      </w: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</w:t>
      </w: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 complex, not less. </w:t>
      </w:r>
    </w:p>
    <w:p w14:paraId="35BEF843" w14:textId="77777777" w:rsidR="004C2996" w:rsidRPr="004C2996" w:rsidRDefault="004C2996" w:rsidP="004C2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Lower reimbursement may threaten patient access to joint replacement, particularly in rural and independent practices. </w:t>
      </w:r>
    </w:p>
    <w:p w14:paraId="7A46EF5D" w14:textId="77777777" w:rsidR="004C2996" w:rsidRPr="004C2996" w:rsidRDefault="004C2996" w:rsidP="004C2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Physician work should reflect increasing patient complexity, perioperative management, and coordination of care. </w:t>
      </w:r>
    </w:p>
    <w:p w14:paraId="0E59B880" w14:textId="77777777" w:rsidR="004C2996" w:rsidRPr="004C2996" w:rsidRDefault="004C2996" w:rsidP="004C2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CMS should reconsider these proposed valuation reductions. </w:t>
      </w:r>
    </w:p>
    <w:p w14:paraId="2307C7C4" w14:textId="77777777" w:rsidR="004C2996" w:rsidRPr="004C2996" w:rsidRDefault="00193B05" w:rsidP="004C29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3B05">
        <w:rPr>
          <w:rFonts w:ascii="Times New Roman" w:eastAsia="Times New Roman" w:hAnsi="Times New Roman" w:cs="Times New Roman"/>
          <w:noProof/>
          <w:kern w:val="0"/>
        </w:rPr>
        <w:pict w14:anchorId="433D0E5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C8765B1" w14:textId="77777777" w:rsidR="004C2996" w:rsidRPr="004C2996" w:rsidRDefault="004C2996" w:rsidP="004C2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Same-Day Evaluation &amp; Management (Modifier 25)</w:t>
      </w:r>
    </w:p>
    <w:p w14:paraId="7155400B" w14:textId="77777777" w:rsidR="004C2996" w:rsidRPr="004C2996" w:rsidRDefault="004C2996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CMS Proposal:</w:t>
      </w: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 Reduce payment for separately identifiable E/M services performed on the same day as a procedure.</w:t>
      </w:r>
    </w:p>
    <w:p w14:paraId="6E86D2DD" w14:textId="77777777" w:rsidR="004C2996" w:rsidRPr="004C2996" w:rsidRDefault="004C2996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Suggested Talking Points</w:t>
      </w:r>
    </w:p>
    <w:p w14:paraId="455465A4" w14:textId="77777777" w:rsidR="004C2996" w:rsidRPr="004C2996" w:rsidRDefault="004C2996" w:rsidP="004C29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Surgical decision-making is distinct physician work. </w:t>
      </w:r>
    </w:p>
    <w:p w14:paraId="51CC1A12" w14:textId="77777777" w:rsidR="004C2996" w:rsidRPr="004C2996" w:rsidRDefault="004C2996" w:rsidP="004C29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Same-day evaluation improves efficiency and patient access. </w:t>
      </w:r>
    </w:p>
    <w:p w14:paraId="1E11080C" w14:textId="77777777" w:rsidR="004C2996" w:rsidRPr="004C2996" w:rsidRDefault="004C2996" w:rsidP="004C29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Separating visits creates unnecessary delays and inconvenience. </w:t>
      </w:r>
    </w:p>
    <w:p w14:paraId="0E6E703B" w14:textId="77777777" w:rsidR="004C2996" w:rsidRPr="004C2996" w:rsidRDefault="004C2996" w:rsidP="004C29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Modifier 25 already requires separate documentation demonstrating medical necessity. </w:t>
      </w:r>
    </w:p>
    <w:p w14:paraId="3DD43FEE" w14:textId="77777777" w:rsidR="004C2996" w:rsidRPr="004C2996" w:rsidRDefault="00193B05" w:rsidP="004C29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3B05">
        <w:rPr>
          <w:rFonts w:ascii="Times New Roman" w:eastAsia="Times New Roman" w:hAnsi="Times New Roman" w:cs="Times New Roman"/>
          <w:noProof/>
          <w:kern w:val="0"/>
        </w:rPr>
        <w:pict w14:anchorId="523AD6A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2A565A8" w14:textId="77777777" w:rsidR="004C2996" w:rsidRPr="004C2996" w:rsidRDefault="004C2996" w:rsidP="004C2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Budget Neutrality &amp; Physician Payment Stability</w:t>
      </w:r>
    </w:p>
    <w:p w14:paraId="6E39897D" w14:textId="77777777" w:rsidR="004C2996" w:rsidRPr="004C2996" w:rsidRDefault="004C2996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Suggested Talking Points</w:t>
      </w:r>
    </w:p>
    <w:p w14:paraId="305C67BD" w14:textId="77777777" w:rsidR="004C2996" w:rsidRPr="004C2996" w:rsidRDefault="004C2996" w:rsidP="004C29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Physician reimbursement has failed to keep pace with inflation and increasing practice costs. </w:t>
      </w:r>
    </w:p>
    <w:p w14:paraId="640483B7" w14:textId="77777777" w:rsidR="004C2996" w:rsidRPr="004C2996" w:rsidRDefault="004C2996" w:rsidP="004C29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Budget neutrality creates instability across specialties and threatens long-term patient access. </w:t>
      </w:r>
    </w:p>
    <w:p w14:paraId="1C3DFD51" w14:textId="77777777" w:rsidR="004C2996" w:rsidRPr="004C2996" w:rsidRDefault="004C2996" w:rsidP="004C29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CMS and Congress should pursue a more sustainable physician payment system. </w:t>
      </w:r>
    </w:p>
    <w:p w14:paraId="112BCD3E" w14:textId="77777777" w:rsidR="004C2996" w:rsidRPr="004C2996" w:rsidRDefault="00193B05" w:rsidP="004C29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3B05">
        <w:rPr>
          <w:rFonts w:ascii="Times New Roman" w:eastAsia="Times New Roman" w:hAnsi="Times New Roman" w:cs="Times New Roman"/>
          <w:noProof/>
          <w:kern w:val="0"/>
        </w:rPr>
        <w:pict w14:anchorId="70D5DC6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86D7B92" w14:textId="77777777" w:rsidR="004C2996" w:rsidRPr="004C2996" w:rsidRDefault="004C2996" w:rsidP="004C2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Practice Expense, Efficiency Adjustments &amp; Global Surgical Care</w:t>
      </w:r>
    </w:p>
    <w:p w14:paraId="7B2A64C8" w14:textId="77777777" w:rsidR="004C2996" w:rsidRPr="004C2996" w:rsidRDefault="004C2996" w:rsidP="004C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Suggested Talking Points</w:t>
      </w:r>
    </w:p>
    <w:p w14:paraId="24693735" w14:textId="77777777" w:rsidR="004C2996" w:rsidRPr="004C2996" w:rsidRDefault="004C2996" w:rsidP="004C29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Independent practice costs extend beyond claims data (staffing, compliance, billing, technology, malpractice). </w:t>
      </w:r>
    </w:p>
    <w:p w14:paraId="7377AAF7" w14:textId="77777777" w:rsidR="004C2996" w:rsidRPr="004C2996" w:rsidRDefault="004C2996" w:rsidP="004C29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 xml:space="preserve">Assumed procedural "efficiency gains" do not reflect increasing physician work outside the operating room. </w:t>
      </w:r>
    </w:p>
    <w:p w14:paraId="6A43AE92" w14:textId="240280AC" w:rsidR="004C2996" w:rsidRPr="00AB0FB8" w:rsidRDefault="004C2996" w:rsidP="00AB0F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996">
        <w:rPr>
          <w:rFonts w:ascii="Times New Roman" w:eastAsia="Times New Roman" w:hAnsi="Times New Roman" w:cs="Times New Roman"/>
          <w:kern w:val="0"/>
          <w14:ligatures w14:val="none"/>
        </w:rPr>
        <w:t>Postoperative care includes portal messages, phone calls, wound care, medication management, therapy coordination, and after-hours care that are not captured by current assumptions.</w:t>
      </w:r>
    </w:p>
    <w:p w14:paraId="4F91D05D" w14:textId="7D4C1161" w:rsidR="006F5184" w:rsidRPr="006F5184" w:rsidRDefault="006F5184" w:rsidP="006F51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Three Tips for Writing an Effective Comment</w:t>
      </w:r>
    </w:p>
    <w:p w14:paraId="27F34D90" w14:textId="77777777" w:rsidR="006F5184" w:rsidRPr="006F5184" w:rsidRDefault="006F5184" w:rsidP="006F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Apple Color Emoji" w:eastAsia="Times New Roman" w:hAnsi="Apple Color Emoji" w:cs="Apple Color Emoji"/>
          <w:kern w:val="0"/>
          <w:sz w:val="22"/>
          <w:szCs w:val="22"/>
          <w14:ligatures w14:val="none"/>
        </w:rPr>
        <w:t>✔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Introduce yourself (orthopaedic surgeon, practice type, years in practice).</w:t>
      </w:r>
    </w:p>
    <w:p w14:paraId="3BF3559E" w14:textId="77777777" w:rsidR="006F5184" w:rsidRPr="006F5184" w:rsidRDefault="006F5184" w:rsidP="006F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Apple Color Emoji" w:eastAsia="Times New Roman" w:hAnsi="Apple Color Emoji" w:cs="Apple Color Emoji"/>
          <w:kern w:val="0"/>
          <w:sz w:val="22"/>
          <w:szCs w:val="22"/>
          <w14:ligatures w14:val="none"/>
        </w:rPr>
        <w:t>✔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Describe </w:t>
      </w: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one real patient example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or explain how the proposal affects your practice.</w:t>
      </w:r>
    </w:p>
    <w:p w14:paraId="0128731B" w14:textId="77777777" w:rsidR="006F5184" w:rsidRPr="006F5184" w:rsidRDefault="006F5184" w:rsidP="006F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Apple Color Emoji" w:eastAsia="Times New Roman" w:hAnsi="Apple Color Emoji" w:cs="Apple Color Emoji"/>
          <w:kern w:val="0"/>
          <w:sz w:val="22"/>
          <w:szCs w:val="22"/>
          <w14:ligatures w14:val="none"/>
        </w:rPr>
        <w:t>✔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End with a clear recommendation (e.g., "I encourage CMS to withdraw...", "I recommend CMS reconsider...", etc.).</w:t>
      </w:r>
    </w:p>
    <w:p w14:paraId="07D48B15" w14:textId="71B36744" w:rsidR="006F5184" w:rsidRPr="006F5184" w:rsidRDefault="00193B05" w:rsidP="006F51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3B05">
        <w:rPr>
          <w:rFonts w:ascii="Times New Roman" w:eastAsia="Times New Roman" w:hAnsi="Times New Roman" w:cs="Times New Roman"/>
          <w:noProof/>
          <w:kern w:val="0"/>
        </w:rPr>
        <w:pict w14:anchorId="43BC667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FE867EA" w14:textId="74D0C563" w:rsidR="006F5184" w:rsidRPr="006F5184" w:rsidRDefault="006F5184" w:rsidP="006F5184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0" behindDoc="0" locked="0" layoutInCell="1" allowOverlap="1" wp14:anchorId="5A70C471" wp14:editId="68D48CA7">
            <wp:simplePos x="0" y="0"/>
            <wp:positionH relativeFrom="column">
              <wp:posOffset>3674121</wp:posOffset>
            </wp:positionH>
            <wp:positionV relativeFrom="paragraph">
              <wp:posOffset>87432</wp:posOffset>
            </wp:positionV>
            <wp:extent cx="1208015" cy="1208015"/>
            <wp:effectExtent l="0" t="0" r="0" b="0"/>
            <wp:wrapNone/>
            <wp:docPr id="1481155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5579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015" cy="120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Submit Your Comments</w:t>
      </w:r>
    </w:p>
    <w:p w14:paraId="3E25F4CC" w14:textId="66841970" w:rsidR="006F5184" w:rsidRDefault="006F5184" w:rsidP="006F51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Deadline: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September 14, 2026</w:t>
      </w:r>
    </w:p>
    <w:p w14:paraId="13EA3532" w14:textId="4CD90F1F" w:rsidR="006F5184" w:rsidRPr="006F5184" w:rsidRDefault="006F5184" w:rsidP="006F51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CMS Docket: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CMS-2026-2377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F5184">
        <w:rPr>
          <w:rFonts w:ascii="Apple Color Emoji" w:eastAsia="Times New Roman" w:hAnsi="Apple Color Emoji" w:cs="Apple Color Emoji"/>
          <w:kern w:val="0"/>
          <w:sz w:val="22"/>
          <w:szCs w:val="22"/>
          <w14:ligatures w14:val="none"/>
        </w:rPr>
        <w:t>🔗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hyperlink r:id="rId8" w:history="1">
        <w:r w:rsidRPr="006F5184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Regulations.gov:</w:t>
        </w:r>
      </w:hyperlink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B077EC8" w14:textId="3DFEB58B" w:rsidR="006F5184" w:rsidRPr="006F5184" w:rsidRDefault="006F5184" w:rsidP="006F51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5184">
        <w:rPr>
          <w:rFonts w:ascii="Apple Color Emoji" w:eastAsia="Times New Roman" w:hAnsi="Apple Color Emoji" w:cs="Apple Color Emoji"/>
          <w:kern w:val="0"/>
          <w:sz w:val="22"/>
          <w:szCs w:val="22"/>
          <w14:ligatures w14:val="none"/>
        </w:rPr>
        <w:t>📱</w:t>
      </w:r>
      <w:r w:rsidRPr="006F51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QR Code</w:t>
      </w:r>
      <w:r w:rsidRPr="006F51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Pr="006F5184">
        <w:rPr>
          <w:noProof/>
          <w:sz w:val="22"/>
          <w:szCs w:val="22"/>
        </w:rPr>
        <w:t xml:space="preserve"> </w:t>
      </w:r>
    </w:p>
    <w:p w14:paraId="5648C7E2" w14:textId="77777777" w:rsidR="006F5184" w:rsidRDefault="006F5184"/>
    <w:sectPr w:rsidR="006F5184" w:rsidSect="006F5184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C3D66" w14:textId="77777777" w:rsidR="00193B05" w:rsidRDefault="00193B05" w:rsidP="006F5184">
      <w:pPr>
        <w:spacing w:after="0" w:line="240" w:lineRule="auto"/>
      </w:pPr>
      <w:r>
        <w:separator/>
      </w:r>
    </w:p>
  </w:endnote>
  <w:endnote w:type="continuationSeparator" w:id="0">
    <w:p w14:paraId="2647E57C" w14:textId="77777777" w:rsidR="00193B05" w:rsidRDefault="00193B05" w:rsidP="006F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89078" w14:textId="77777777" w:rsidR="00193B05" w:rsidRDefault="00193B05" w:rsidP="006F5184">
      <w:pPr>
        <w:spacing w:after="0" w:line="240" w:lineRule="auto"/>
      </w:pPr>
      <w:r>
        <w:separator/>
      </w:r>
    </w:p>
  </w:footnote>
  <w:footnote w:type="continuationSeparator" w:id="0">
    <w:p w14:paraId="538D24FE" w14:textId="77777777" w:rsidR="00193B05" w:rsidRDefault="00193B05" w:rsidP="006F5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62387"/>
    <w:multiLevelType w:val="multilevel"/>
    <w:tmpl w:val="6562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34738"/>
    <w:multiLevelType w:val="multilevel"/>
    <w:tmpl w:val="F82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180A56"/>
    <w:multiLevelType w:val="multilevel"/>
    <w:tmpl w:val="6754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269DD"/>
    <w:multiLevelType w:val="multilevel"/>
    <w:tmpl w:val="FDB8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728414">
    <w:abstractNumId w:val="3"/>
  </w:num>
  <w:num w:numId="2" w16cid:durableId="853685690">
    <w:abstractNumId w:val="2"/>
  </w:num>
  <w:num w:numId="3" w16cid:durableId="926882865">
    <w:abstractNumId w:val="1"/>
  </w:num>
  <w:num w:numId="4" w16cid:durableId="82759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84"/>
    <w:rsid w:val="00193B05"/>
    <w:rsid w:val="00366617"/>
    <w:rsid w:val="0041579E"/>
    <w:rsid w:val="004C2996"/>
    <w:rsid w:val="00501759"/>
    <w:rsid w:val="005F226E"/>
    <w:rsid w:val="006F5184"/>
    <w:rsid w:val="007D17B6"/>
    <w:rsid w:val="008811BF"/>
    <w:rsid w:val="00980843"/>
    <w:rsid w:val="00A31C7B"/>
    <w:rsid w:val="00A920DD"/>
    <w:rsid w:val="00AA6E9A"/>
    <w:rsid w:val="00AB0FB8"/>
    <w:rsid w:val="00CA2822"/>
    <w:rsid w:val="00E2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749DA"/>
  <w15:chartTrackingRefBased/>
  <w15:docId w15:val="{034C1D86-3304-F348-8768-D99450A0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5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5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5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18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F51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F5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F518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184"/>
  </w:style>
  <w:style w:type="paragraph" w:styleId="Footer">
    <w:name w:val="footer"/>
    <w:basedOn w:val="Normal"/>
    <w:link w:val="FooterChar"/>
    <w:uiPriority w:val="99"/>
    <w:unhideWhenUsed/>
    <w:rsid w:val="006F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184"/>
  </w:style>
  <w:style w:type="character" w:styleId="Hyperlink">
    <w:name w:val="Hyperlink"/>
    <w:basedOn w:val="DefaultParagraphFont"/>
    <w:uiPriority w:val="99"/>
    <w:unhideWhenUsed/>
    <w:rsid w:val="006F51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Strasser</dc:creator>
  <cp:keywords/>
  <dc:description/>
  <cp:lastModifiedBy>Nicholas Strasser</cp:lastModifiedBy>
  <cp:revision>8</cp:revision>
  <cp:lastPrinted>2026-08-02T02:38:00Z</cp:lastPrinted>
  <dcterms:created xsi:type="dcterms:W3CDTF">2026-08-02T00:43:00Z</dcterms:created>
  <dcterms:modified xsi:type="dcterms:W3CDTF">2026-08-02T14:24:00Z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2026-08-02T02:28:11Z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8ee7c26e-66fe-4134-8758-a4871bad35a4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50, 3, 0, 1</vt:lpwstr>
  </property>
</Properties>
</file>